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FB633D">
      <w:pPr>
        <w:pStyle w:val="Titolo2"/>
        <w:ind w:left="-142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FB633D">
        <w:rPr>
          <w:rStyle w:val="Nessuno"/>
          <w:b w:val="0"/>
          <w:i/>
          <w:iCs/>
          <w:color w:val="auto"/>
          <w:sz w:val="22"/>
          <w:szCs w:val="22"/>
        </w:rPr>
        <w:t>44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FB633D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L</w:t>
      </w:r>
      <w:r w:rsidRPr="00FB633D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a madre di tutti i regolamenti per fare circolare trattori e rimorchi </w:t>
      </w:r>
      <w:r w:rsidR="00F934D1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in tutt’Europa</w:t>
      </w:r>
      <w:bookmarkStart w:id="0" w:name="_GoBack"/>
      <w:bookmarkEnd w:id="0"/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>Doveva servire a rendere omogenee le regole in tutt’Europa, ma i punti oscuri sulla normativa comunitaria per i mezzi agricoli, nota come “</w:t>
      </w:r>
      <w:proofErr w:type="spellStart"/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Mother</w:t>
      </w:r>
      <w:proofErr w:type="spellEnd"/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R</w:t>
      </w:r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egulation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”, hanno costretto il ministero a emanare diverse circolari di chiarimento. E durante un convegno sul tema, organizzato da </w:t>
      </w:r>
      <w:proofErr w:type="spellStart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nell’ambito 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dell’EIMA</w:t>
      </w: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si sono affrontati (e chiariti) gli aspetti che hanno provocato perplessità tra i costruttori e tra gli utenti. La normativa in questione, il regolamento 167 del 2013, in vigore già da gennaio scorso, è obbligatoria per tutti i trattori. Ma per i rimorchi e le “attrezzature intercambiabili trainate”, l’obbligo riguarda solo quelli destinati all’estero. Se devono circolare solo nel Paese di produzione, il costruttore potrà continuare a uniformarsi alla normativa nazionale. </w:t>
      </w:r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“È una scelta che fa il costruttore valutando i pro e i contro” spiega Lorenzo </w:t>
      </w:r>
      <w:proofErr w:type="spellStart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>Iuliano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del servizio tecnico di </w:t>
      </w:r>
      <w:proofErr w:type="spellStart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e tra i relatori del convegno. </w:t>
      </w: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br/>
        <w:t xml:space="preserve">“Per essere conforme alla </w:t>
      </w:r>
      <w:proofErr w:type="spellStart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Mother</w:t>
      </w:r>
      <w:proofErr w:type="spellEnd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R</w:t>
      </w:r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egulation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le attrezzature devono soddisfare criteri più rigidi, che fanno alzare i costi. Ma, in compenso, possono avere prestazioni maggiori e, naturalmente, possono circolare in tutta l’Ue”. </w:t>
      </w:r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Tra i punti critici evidenziati nel corso del convegno, l’applicazione della nuova normativa ai rimorchi e alle “attrezzature intercambiabili trainate”. La normativa impone una tecnologia molto affidabile per quel che riguarda l’impianto frenante. Ma cosa succede quando un coltivatore vuole collegare un rimorchio vecchio a un trattore di nuova generazione? </w:t>
      </w:r>
    </w:p>
    <w:p w:rsidR="00FB633D" w:rsidRPr="00FB633D" w:rsidRDefault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“Sono state concesse delle proroghe sia in ambito europeo che nazionale” spiega ancora </w:t>
      </w:r>
      <w:proofErr w:type="spellStart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>Iuliano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“che però scadranno nel 2024, ma consentono di utilizzare delle tecnologie di raccordo, un po’ come succede quando si va all’estero con le prese elettriche. Ma è importante sapere che un rimorchio o un’attrezzatura trainata nuova non può essere collegata a un trattore di vecchio tipo. Mentre si può fare il contra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rio: un trattore conforme alla </w:t>
      </w:r>
      <w:proofErr w:type="spellStart"/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M</w:t>
      </w:r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other</w:t>
      </w:r>
      <w:proofErr w:type="spellEnd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R</w:t>
      </w:r>
      <w:r w:rsidRPr="00FB633D">
        <w:rPr>
          <w:rFonts w:eastAsia="Calibri" w:cs="Times New Roman"/>
          <w:i/>
          <w:color w:val="auto"/>
          <w:bdr w:val="none" w:sz="0" w:space="0" w:color="auto"/>
          <w:lang w:val="it-IT" w:eastAsia="en-US"/>
        </w:rPr>
        <w:t>egulation</w:t>
      </w:r>
      <w:proofErr w:type="spellEnd"/>
      <w:r w:rsidRPr="00FB633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può trainare un rimorchio che monta il vecchio impianto frenante”.  </w:t>
      </w:r>
    </w:p>
    <w:p w:rsidR="00675E00" w:rsidRDefault="00675E00" w:rsidP="00675E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jc w:val="both"/>
        <w:rPr>
          <w:rFonts w:ascii="Calibri" w:eastAsia="Calibri" w:hAnsi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</w:p>
    <w:p w:rsidR="002C0701" w:rsidRPr="00E3327C" w:rsidRDefault="002C0701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BA1F40" w:rsidRPr="00E3327C" w:rsidRDefault="00BA1F40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547F8" w:rsidRPr="00E3327C" w:rsidRDefault="00FB633D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</w:t>
      </w:r>
      <w:r w:rsidR="00613689"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11</w:t>
      </w:r>
      <w:r w:rsidR="009F01B8"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E3327C" w:rsidSect="00CD1EB7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92" w:rsidRDefault="00D90992">
      <w:r>
        <w:separator/>
      </w:r>
    </w:p>
  </w:endnote>
  <w:endnote w:type="continuationSeparator" w:id="0">
    <w:p w:rsidR="00D90992" w:rsidRDefault="00D9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934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92" w:rsidRDefault="00D90992">
      <w:r>
        <w:separator/>
      </w:r>
    </w:p>
  </w:footnote>
  <w:footnote w:type="continuationSeparator" w:id="0">
    <w:p w:rsidR="00D90992" w:rsidRDefault="00D9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82234"/>
    <w:rsid w:val="005D68CA"/>
    <w:rsid w:val="005E0DC3"/>
    <w:rsid w:val="005E3DA3"/>
    <w:rsid w:val="006064AC"/>
    <w:rsid w:val="00613689"/>
    <w:rsid w:val="00642C75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90992"/>
    <w:rsid w:val="00DA0C13"/>
    <w:rsid w:val="00DB3257"/>
    <w:rsid w:val="00E24A44"/>
    <w:rsid w:val="00E3327C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54A-65E5-41F6-B6D3-2126F6C1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4</cp:revision>
  <cp:lastPrinted>2018-11-11T12:23:00Z</cp:lastPrinted>
  <dcterms:created xsi:type="dcterms:W3CDTF">2018-11-11T12:23:00Z</dcterms:created>
  <dcterms:modified xsi:type="dcterms:W3CDTF">2018-11-11T12:24:00Z</dcterms:modified>
</cp:coreProperties>
</file>